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04" w:rsidRPr="008C5F8D" w:rsidRDefault="00EA3D04" w:rsidP="00FC71C5">
      <w:pPr>
        <w:spacing w:after="118" w:line="360" w:lineRule="auto"/>
        <w:jc w:val="center"/>
        <w:textAlignment w:val="baseline"/>
        <w:outlineLvl w:val="1"/>
        <w:rPr>
          <w:rFonts w:ascii="Arial" w:eastAsia="Times New Roman" w:hAnsi="Arial" w:cs="Arial"/>
          <w:b/>
          <w:sz w:val="20"/>
          <w:szCs w:val="20"/>
          <w:lang w:eastAsia="es-ES"/>
        </w:rPr>
      </w:pPr>
      <w:r w:rsidRPr="008C5F8D">
        <w:rPr>
          <w:rFonts w:ascii="Arial" w:eastAsia="Times New Roman" w:hAnsi="Arial" w:cs="Arial"/>
          <w:b/>
          <w:sz w:val="20"/>
          <w:szCs w:val="20"/>
          <w:lang w:eastAsia="es-ES"/>
        </w:rPr>
        <w:t>Centros eTwinning</w:t>
      </w:r>
    </w:p>
    <w:p w:rsidR="00FC71C5" w:rsidRPr="008C5F8D" w:rsidRDefault="00EA3D04" w:rsidP="00FC71C5">
      <w:pPr>
        <w:spacing w:after="0" w:line="360" w:lineRule="auto"/>
        <w:jc w:val="both"/>
        <w:textAlignment w:val="baseline"/>
        <w:rPr>
          <w:rFonts w:ascii="Arial" w:eastAsia="Times New Roman" w:hAnsi="Arial" w:cs="Arial"/>
          <w:color w:val="232527"/>
          <w:sz w:val="20"/>
          <w:szCs w:val="20"/>
          <w:lang w:eastAsia="es-ES"/>
        </w:rPr>
      </w:pPr>
      <w:r w:rsidRPr="008C5F8D">
        <w:rPr>
          <w:rFonts w:ascii="Arial" w:eastAsia="Times New Roman" w:hAnsi="Arial" w:cs="Arial"/>
          <w:color w:val="232527"/>
          <w:sz w:val="20"/>
          <w:szCs w:val="20"/>
          <w:lang w:eastAsia="es-ES"/>
        </w:rPr>
        <w:t>Tras la gran acogida de la primera convoca</w:t>
      </w:r>
      <w:r w:rsidR="004B7F12" w:rsidRPr="008C5F8D">
        <w:rPr>
          <w:rFonts w:ascii="Arial" w:eastAsia="Times New Roman" w:hAnsi="Arial" w:cs="Arial"/>
          <w:color w:val="232527"/>
          <w:sz w:val="20"/>
          <w:szCs w:val="20"/>
          <w:lang w:eastAsia="es-ES"/>
        </w:rPr>
        <w:t>toria de centros eTwinning</w:t>
      </w:r>
      <w:r w:rsidRPr="008C5F8D">
        <w:rPr>
          <w:rFonts w:ascii="Arial" w:eastAsia="Times New Roman" w:hAnsi="Arial" w:cs="Arial"/>
          <w:color w:val="232527"/>
          <w:sz w:val="20"/>
          <w:szCs w:val="20"/>
          <w:lang w:eastAsia="es-ES"/>
        </w:rPr>
        <w:t xml:space="preserve"> en 2018, se lanzó por segundo año consecutivo el reconocimiento </w:t>
      </w:r>
      <w:hyperlink r:id="rId6" w:tgtFrame="_blank" w:history="1">
        <w:r w:rsidRPr="008C5F8D">
          <w:rPr>
            <w:rFonts w:ascii="Arial" w:eastAsia="Times New Roman" w:hAnsi="Arial" w:cs="Arial"/>
            <w:color w:val="232527"/>
            <w:sz w:val="20"/>
            <w:szCs w:val="20"/>
            <w:lang w:eastAsia="es-ES"/>
          </w:rPr>
          <w:t xml:space="preserve">eTwinning </w:t>
        </w:r>
        <w:proofErr w:type="spellStart"/>
        <w:r w:rsidRPr="008C5F8D">
          <w:rPr>
            <w:rFonts w:ascii="Arial" w:eastAsia="Times New Roman" w:hAnsi="Arial" w:cs="Arial"/>
            <w:color w:val="232527"/>
            <w:sz w:val="20"/>
            <w:szCs w:val="20"/>
            <w:lang w:eastAsia="es-ES"/>
          </w:rPr>
          <w:t>School</w:t>
        </w:r>
        <w:proofErr w:type="spellEnd"/>
      </w:hyperlink>
      <w:r w:rsidRPr="008C5F8D">
        <w:rPr>
          <w:rFonts w:ascii="Arial" w:eastAsia="Times New Roman" w:hAnsi="Arial" w:cs="Arial"/>
          <w:color w:val="232527"/>
          <w:sz w:val="20"/>
          <w:szCs w:val="20"/>
          <w:lang w:eastAsia="es-ES"/>
        </w:rPr>
        <w:t>. Este reconocimiento resalta el valor de aquellos centros que demuestran una participación activa y relevante en eTwinning, implicando a diferentes agentes de su comunidad educativa, dónde se respetan y cuidan aspectos relacionados con la seguridad en la red, y se realizan acciones de difusión que trascienden más allá  del centro educativo.</w:t>
      </w:r>
    </w:p>
    <w:p w:rsidR="00EA3D04" w:rsidRPr="008C5F8D" w:rsidRDefault="00EA3D04" w:rsidP="00EA3D04">
      <w:pPr>
        <w:spacing w:after="0" w:line="360" w:lineRule="auto"/>
        <w:jc w:val="both"/>
        <w:textAlignment w:val="baseline"/>
        <w:rPr>
          <w:rFonts w:ascii="Arial" w:eastAsia="Times New Roman" w:hAnsi="Arial" w:cs="Arial"/>
          <w:b/>
          <w:bCs/>
          <w:color w:val="232527"/>
          <w:sz w:val="20"/>
          <w:szCs w:val="20"/>
          <w:bdr w:val="none" w:sz="0" w:space="0" w:color="auto" w:frame="1"/>
          <w:lang w:eastAsia="es-ES"/>
        </w:rPr>
      </w:pPr>
      <w:r w:rsidRPr="008C5F8D">
        <w:rPr>
          <w:rFonts w:ascii="Arial" w:eastAsia="Times New Roman" w:hAnsi="Arial" w:cs="Arial"/>
          <w:color w:val="232527"/>
          <w:sz w:val="20"/>
          <w:szCs w:val="20"/>
          <w:lang w:eastAsia="es-ES"/>
        </w:rPr>
        <w:t xml:space="preserve">El reconocimiento tiene una validez de dos años, por lo que a día de hoy la red de centros eTwinning está compuesta por </w:t>
      </w:r>
      <w:r w:rsidRPr="008C5F8D">
        <w:rPr>
          <w:rFonts w:ascii="Arial" w:eastAsia="Times New Roman" w:hAnsi="Arial" w:cs="Arial"/>
          <w:b/>
          <w:bCs/>
          <w:color w:val="232527"/>
          <w:sz w:val="20"/>
          <w:szCs w:val="20"/>
          <w:bdr w:val="none" w:sz="0" w:space="0" w:color="auto" w:frame="1"/>
          <w:lang w:eastAsia="es-ES"/>
        </w:rPr>
        <w:t>171 centros eTwinning en España</w:t>
      </w:r>
      <w:r w:rsidR="00FC71C5" w:rsidRPr="008C5F8D">
        <w:rPr>
          <w:rFonts w:ascii="Arial" w:eastAsia="Times New Roman" w:hAnsi="Arial" w:cs="Arial"/>
          <w:color w:val="232527"/>
          <w:sz w:val="20"/>
          <w:szCs w:val="20"/>
          <w:lang w:eastAsia="es-ES"/>
        </w:rPr>
        <w:t>,</w:t>
      </w:r>
      <w:r w:rsidRPr="008C5F8D">
        <w:rPr>
          <w:rFonts w:ascii="Arial" w:eastAsia="Times New Roman" w:hAnsi="Arial" w:cs="Arial"/>
          <w:color w:val="232527"/>
          <w:sz w:val="20"/>
          <w:szCs w:val="20"/>
          <w:lang w:eastAsia="es-ES"/>
        </w:rPr>
        <w:t xml:space="preserve"> de las</w:t>
      </w:r>
      <w:r w:rsidRPr="008C5F8D">
        <w:rPr>
          <w:rFonts w:ascii="Arial" w:eastAsia="Times New Roman" w:hAnsi="Arial" w:cs="Arial"/>
          <w:b/>
          <w:bCs/>
          <w:color w:val="232527"/>
          <w:sz w:val="20"/>
          <w:szCs w:val="20"/>
          <w:bdr w:val="none" w:sz="0" w:space="0" w:color="auto" w:frame="1"/>
          <w:lang w:eastAsia="es-ES"/>
        </w:rPr>
        <w:t xml:space="preserve"> 2216 eTwinning </w:t>
      </w:r>
      <w:proofErr w:type="spellStart"/>
      <w:r w:rsidRPr="008C5F8D">
        <w:rPr>
          <w:rFonts w:ascii="Arial" w:eastAsia="Times New Roman" w:hAnsi="Arial" w:cs="Arial"/>
          <w:b/>
          <w:bCs/>
          <w:color w:val="232527"/>
          <w:sz w:val="20"/>
          <w:szCs w:val="20"/>
          <w:bdr w:val="none" w:sz="0" w:space="0" w:color="auto" w:frame="1"/>
          <w:lang w:eastAsia="es-ES"/>
        </w:rPr>
        <w:t>school</w:t>
      </w:r>
      <w:proofErr w:type="spellEnd"/>
      <w:r w:rsidRPr="008C5F8D">
        <w:rPr>
          <w:rFonts w:ascii="Arial" w:eastAsia="Times New Roman" w:hAnsi="Arial" w:cs="Arial"/>
          <w:color w:val="232527"/>
          <w:sz w:val="20"/>
          <w:szCs w:val="20"/>
          <w:lang w:eastAsia="es-ES"/>
        </w:rPr>
        <w:t xml:space="preserve"> de toda </w:t>
      </w:r>
      <w:r w:rsidRPr="008C5F8D">
        <w:rPr>
          <w:rFonts w:ascii="Arial" w:eastAsia="Times New Roman" w:hAnsi="Arial" w:cs="Arial"/>
          <w:b/>
          <w:bCs/>
          <w:color w:val="232527"/>
          <w:sz w:val="20"/>
          <w:szCs w:val="20"/>
          <w:bdr w:val="none" w:sz="0" w:space="0" w:color="auto" w:frame="1"/>
          <w:lang w:eastAsia="es-ES"/>
        </w:rPr>
        <w:t>Europa.</w:t>
      </w:r>
    </w:p>
    <w:p w:rsidR="00FC71C5" w:rsidRPr="008C5F8D" w:rsidRDefault="00FC71C5" w:rsidP="00EA3D04">
      <w:pPr>
        <w:spacing w:after="0" w:line="360" w:lineRule="auto"/>
        <w:jc w:val="both"/>
        <w:textAlignment w:val="baseline"/>
        <w:rPr>
          <w:rFonts w:ascii="Arial" w:eastAsia="Times New Roman" w:hAnsi="Arial" w:cs="Arial"/>
          <w:b/>
          <w:bCs/>
          <w:color w:val="232527"/>
          <w:sz w:val="20"/>
          <w:szCs w:val="20"/>
          <w:bdr w:val="none" w:sz="0" w:space="0" w:color="auto" w:frame="1"/>
          <w:lang w:eastAsia="es-ES"/>
        </w:rPr>
      </w:pPr>
    </w:p>
    <w:p w:rsidR="00EA3D04" w:rsidRPr="008C5F8D" w:rsidRDefault="00EA3D04" w:rsidP="00EA3D04">
      <w:pPr>
        <w:spacing w:after="0" w:line="360" w:lineRule="auto"/>
        <w:jc w:val="both"/>
        <w:textAlignment w:val="baseline"/>
        <w:rPr>
          <w:rFonts w:ascii="Arial" w:eastAsia="Times New Roman" w:hAnsi="Arial" w:cs="Arial"/>
          <w:sz w:val="20"/>
          <w:szCs w:val="20"/>
          <w:lang w:eastAsia="es-ES"/>
        </w:rPr>
      </w:pPr>
      <w:r w:rsidRPr="008C5F8D">
        <w:rPr>
          <w:rFonts w:ascii="Arial" w:eastAsia="Times New Roman" w:hAnsi="Arial" w:cs="Arial"/>
          <w:sz w:val="20"/>
          <w:szCs w:val="20"/>
          <w:lang w:eastAsia="es-ES"/>
        </w:rPr>
        <w:t>Para obtener el sello “Centro eTwinning”, los centros escolares deben superar un proceso de solicitud en dos fases. Los centros condecorados son pioneros y líderes reconocidos en áreas como:</w:t>
      </w:r>
    </w:p>
    <w:p w:rsidR="00EA3D04" w:rsidRPr="008C5F8D" w:rsidRDefault="008C5F8D" w:rsidP="00EA3D04">
      <w:pPr>
        <w:numPr>
          <w:ilvl w:val="0"/>
          <w:numId w:val="1"/>
        </w:numPr>
        <w:spacing w:after="0" w:line="360" w:lineRule="auto"/>
        <w:ind w:left="300"/>
        <w:jc w:val="both"/>
        <w:textAlignment w:val="baseline"/>
        <w:rPr>
          <w:rFonts w:ascii="Arial" w:eastAsia="Times New Roman" w:hAnsi="Arial" w:cs="Arial"/>
          <w:sz w:val="20"/>
          <w:szCs w:val="20"/>
          <w:lang w:eastAsia="es-ES"/>
        </w:rPr>
      </w:pPr>
      <w:hyperlink r:id="rId7" w:history="1">
        <w:r w:rsidR="00EA3D04" w:rsidRPr="008C5F8D">
          <w:rPr>
            <w:rFonts w:ascii="Arial" w:eastAsia="Times New Roman" w:hAnsi="Arial" w:cs="Arial"/>
            <w:sz w:val="20"/>
            <w:szCs w:val="20"/>
            <w:bdr w:val="none" w:sz="0" w:space="0" w:color="auto" w:frame="1"/>
            <w:lang w:eastAsia="es-ES"/>
          </w:rPr>
          <w:t>uso de herramientas digitales,</w:t>
        </w:r>
      </w:hyperlink>
    </w:p>
    <w:p w:rsidR="00EA3D04" w:rsidRPr="008C5F8D" w:rsidRDefault="008C5F8D" w:rsidP="00EA3D04">
      <w:pPr>
        <w:numPr>
          <w:ilvl w:val="0"/>
          <w:numId w:val="1"/>
        </w:numPr>
        <w:spacing w:after="0" w:line="360" w:lineRule="auto"/>
        <w:ind w:left="300"/>
        <w:jc w:val="both"/>
        <w:textAlignment w:val="baseline"/>
        <w:rPr>
          <w:rFonts w:ascii="Arial" w:eastAsia="Times New Roman" w:hAnsi="Arial" w:cs="Arial"/>
          <w:sz w:val="20"/>
          <w:szCs w:val="20"/>
          <w:lang w:eastAsia="es-ES"/>
        </w:rPr>
      </w:pPr>
      <w:hyperlink r:id="rId8" w:tgtFrame="_blank" w:history="1">
        <w:r w:rsidR="00EA3D04" w:rsidRPr="008C5F8D">
          <w:rPr>
            <w:rFonts w:ascii="Arial" w:eastAsia="Times New Roman" w:hAnsi="Arial" w:cs="Arial"/>
            <w:sz w:val="20"/>
            <w:szCs w:val="20"/>
            <w:bdr w:val="none" w:sz="0" w:space="0" w:color="auto" w:frame="1"/>
            <w:lang w:eastAsia="es-ES"/>
          </w:rPr>
          <w:t>prevención y la seguridad en línea o (</w:t>
        </w:r>
        <w:proofErr w:type="spellStart"/>
        <w:r w:rsidR="00EA3D04" w:rsidRPr="008C5F8D">
          <w:rPr>
            <w:rFonts w:ascii="Arial" w:eastAsia="Times New Roman" w:hAnsi="Arial" w:cs="Arial"/>
            <w:sz w:val="20"/>
            <w:szCs w:val="20"/>
            <w:bdr w:val="none" w:sz="0" w:space="0" w:color="auto" w:frame="1"/>
            <w:lang w:eastAsia="es-ES"/>
          </w:rPr>
          <w:t>eSafety</w:t>
        </w:r>
        <w:proofErr w:type="spellEnd"/>
        <w:r w:rsidR="00EA3D04" w:rsidRPr="008C5F8D">
          <w:rPr>
            <w:rFonts w:ascii="Arial" w:eastAsia="Times New Roman" w:hAnsi="Arial" w:cs="Arial"/>
            <w:sz w:val="20"/>
            <w:szCs w:val="20"/>
            <w:bdr w:val="none" w:sz="0" w:space="0" w:color="auto" w:frame="1"/>
            <w:lang w:eastAsia="es-ES"/>
          </w:rPr>
          <w:t>)</w:t>
        </w:r>
      </w:hyperlink>
      <w:r w:rsidR="00EA3D04" w:rsidRPr="008C5F8D">
        <w:rPr>
          <w:rFonts w:ascii="Arial" w:eastAsia="Times New Roman" w:hAnsi="Arial" w:cs="Arial"/>
          <w:sz w:val="20"/>
          <w:szCs w:val="20"/>
          <w:lang w:eastAsia="es-ES"/>
        </w:rPr>
        <w:t>,</w:t>
      </w:r>
    </w:p>
    <w:p w:rsidR="00EA3D04" w:rsidRPr="008C5F8D" w:rsidRDefault="008C5F8D" w:rsidP="00EA3D04">
      <w:pPr>
        <w:numPr>
          <w:ilvl w:val="0"/>
          <w:numId w:val="1"/>
        </w:numPr>
        <w:spacing w:after="0" w:line="360" w:lineRule="auto"/>
        <w:ind w:left="300"/>
        <w:jc w:val="both"/>
        <w:textAlignment w:val="baseline"/>
        <w:rPr>
          <w:rFonts w:ascii="Arial" w:eastAsia="Times New Roman" w:hAnsi="Arial" w:cs="Arial"/>
          <w:sz w:val="20"/>
          <w:szCs w:val="20"/>
          <w:lang w:eastAsia="es-ES"/>
        </w:rPr>
      </w:pPr>
      <w:hyperlink r:id="rId9" w:tgtFrame="_blank" w:history="1">
        <w:r w:rsidR="00EA3D04" w:rsidRPr="008C5F8D">
          <w:rPr>
            <w:rFonts w:ascii="Arial" w:eastAsia="Times New Roman" w:hAnsi="Arial" w:cs="Arial"/>
            <w:sz w:val="20"/>
            <w:szCs w:val="20"/>
            <w:bdr w:val="none" w:sz="0" w:space="0" w:color="auto" w:frame="1"/>
            <w:lang w:eastAsia="es-ES"/>
          </w:rPr>
          <w:t>enfoques pedagógicos innovadores y creativos</w:t>
        </w:r>
      </w:hyperlink>
      <w:r w:rsidR="00EA3D04" w:rsidRPr="008C5F8D">
        <w:rPr>
          <w:rFonts w:ascii="Arial" w:eastAsia="Times New Roman" w:hAnsi="Arial" w:cs="Arial"/>
          <w:sz w:val="20"/>
          <w:szCs w:val="20"/>
          <w:lang w:eastAsia="es-ES"/>
        </w:rPr>
        <w:t>,</w:t>
      </w:r>
    </w:p>
    <w:p w:rsidR="00EA3D04" w:rsidRPr="008C5F8D" w:rsidRDefault="008C5F8D" w:rsidP="00EA3D04">
      <w:pPr>
        <w:numPr>
          <w:ilvl w:val="0"/>
          <w:numId w:val="1"/>
        </w:numPr>
        <w:spacing w:after="0" w:line="360" w:lineRule="auto"/>
        <w:ind w:left="300"/>
        <w:jc w:val="both"/>
        <w:textAlignment w:val="baseline"/>
        <w:rPr>
          <w:rFonts w:ascii="Arial" w:eastAsia="Times New Roman" w:hAnsi="Arial" w:cs="Arial"/>
          <w:sz w:val="20"/>
          <w:szCs w:val="20"/>
          <w:lang w:eastAsia="es-ES"/>
        </w:rPr>
      </w:pPr>
      <w:hyperlink r:id="rId10" w:history="1">
        <w:r w:rsidR="00EA3D04" w:rsidRPr="008C5F8D">
          <w:rPr>
            <w:rFonts w:ascii="Arial" w:eastAsia="Times New Roman" w:hAnsi="Arial" w:cs="Arial"/>
            <w:sz w:val="20"/>
            <w:szCs w:val="20"/>
            <w:bdr w:val="none" w:sz="0" w:space="0" w:color="auto" w:frame="1"/>
            <w:lang w:eastAsia="es-ES"/>
          </w:rPr>
          <w:t>apoyo a la formación continua de su personal</w:t>
        </w:r>
      </w:hyperlink>
      <w:r w:rsidR="00EA3D04" w:rsidRPr="008C5F8D">
        <w:rPr>
          <w:rFonts w:ascii="Arial" w:eastAsia="Times New Roman" w:hAnsi="Arial" w:cs="Arial"/>
          <w:sz w:val="20"/>
          <w:szCs w:val="20"/>
          <w:lang w:eastAsia="es-ES"/>
        </w:rPr>
        <w:t> y</w:t>
      </w:r>
    </w:p>
    <w:p w:rsidR="00EA3D04" w:rsidRPr="008C5F8D" w:rsidRDefault="008C5F8D" w:rsidP="00EA3D04">
      <w:pPr>
        <w:numPr>
          <w:ilvl w:val="0"/>
          <w:numId w:val="1"/>
        </w:numPr>
        <w:spacing w:after="0" w:line="360" w:lineRule="auto"/>
        <w:ind w:left="300"/>
        <w:jc w:val="both"/>
        <w:textAlignment w:val="baseline"/>
        <w:rPr>
          <w:rFonts w:ascii="Arial" w:eastAsia="Times New Roman" w:hAnsi="Arial" w:cs="Arial"/>
          <w:sz w:val="20"/>
          <w:szCs w:val="20"/>
          <w:lang w:eastAsia="es-ES"/>
        </w:rPr>
      </w:pPr>
      <w:hyperlink r:id="rId11" w:tgtFrame="_blank" w:history="1">
        <w:r w:rsidR="00EA3D04" w:rsidRPr="008C5F8D">
          <w:rPr>
            <w:rFonts w:ascii="Arial" w:eastAsia="Times New Roman" w:hAnsi="Arial" w:cs="Arial"/>
            <w:sz w:val="20"/>
            <w:szCs w:val="20"/>
            <w:bdr w:val="none" w:sz="0" w:space="0" w:color="auto" w:frame="1"/>
            <w:lang w:eastAsia="es-ES"/>
          </w:rPr>
          <w:t>fomento de prácticas de aprendizaje cooperativas para personal y estudiantes</w:t>
        </w:r>
      </w:hyperlink>
    </w:p>
    <w:p w:rsidR="00EA3D04" w:rsidRPr="008C5F8D" w:rsidRDefault="00EA3D04" w:rsidP="00EA3D04">
      <w:pPr>
        <w:spacing w:after="0" w:line="360" w:lineRule="auto"/>
        <w:ind w:left="300"/>
        <w:jc w:val="both"/>
        <w:textAlignment w:val="baseline"/>
        <w:rPr>
          <w:rFonts w:ascii="Arial" w:eastAsia="Times New Roman" w:hAnsi="Arial" w:cs="Arial"/>
          <w:sz w:val="20"/>
          <w:szCs w:val="20"/>
          <w:lang w:eastAsia="es-ES"/>
        </w:rPr>
      </w:pPr>
    </w:p>
    <w:p w:rsidR="00EA3D04" w:rsidRPr="008C5F8D" w:rsidRDefault="00EA3D04" w:rsidP="00EA3D04">
      <w:pPr>
        <w:spacing w:after="360" w:line="360" w:lineRule="auto"/>
        <w:jc w:val="both"/>
        <w:textAlignment w:val="baseline"/>
        <w:rPr>
          <w:rFonts w:ascii="Arial" w:eastAsia="Times New Roman" w:hAnsi="Arial" w:cs="Arial"/>
          <w:color w:val="232527"/>
          <w:sz w:val="20"/>
          <w:szCs w:val="20"/>
          <w:lang w:eastAsia="es-ES"/>
        </w:rPr>
      </w:pPr>
      <w:r w:rsidRPr="008C5F8D">
        <w:rPr>
          <w:rFonts w:ascii="Arial" w:eastAsia="Times New Roman" w:hAnsi="Arial" w:cs="Arial"/>
          <w:sz w:val="20"/>
          <w:szCs w:val="20"/>
          <w:lang w:eastAsia="es-ES"/>
        </w:rPr>
        <w:t xml:space="preserve">Con ello no sólo se premia el éxito personal de docentes en concreto, sino que también se otorga un reconocimiento a todo lo que ha logrado el equipo de eTwinning de estos centros. </w:t>
      </w:r>
    </w:p>
    <w:p w:rsidR="00EA3D04" w:rsidRPr="008C5F8D" w:rsidRDefault="00EA3D04" w:rsidP="00EA3D04">
      <w:pPr>
        <w:pStyle w:val="NormalWeb"/>
        <w:spacing w:before="0" w:beforeAutospacing="0" w:after="0" w:afterAutospacing="0" w:line="360" w:lineRule="auto"/>
        <w:jc w:val="both"/>
        <w:textAlignment w:val="baseline"/>
        <w:rPr>
          <w:rFonts w:ascii="Arial" w:hAnsi="Arial" w:cs="Arial"/>
          <w:color w:val="232527"/>
          <w:sz w:val="20"/>
          <w:szCs w:val="20"/>
        </w:rPr>
      </w:pPr>
      <w:r w:rsidRPr="008C5F8D">
        <w:rPr>
          <w:rStyle w:val="Textoennegrita"/>
          <w:rFonts w:ascii="Arial" w:hAnsi="Arial" w:cs="Arial"/>
          <w:color w:val="232527"/>
          <w:sz w:val="20"/>
          <w:szCs w:val="20"/>
          <w:bdr w:val="none" w:sz="0" w:space="0" w:color="auto" w:frame="1"/>
        </w:rPr>
        <w:t>¿Qué</w:t>
      </w:r>
      <w:r w:rsidR="008C5F8D" w:rsidRPr="008C5F8D">
        <w:rPr>
          <w:rStyle w:val="Textoennegrita"/>
          <w:rFonts w:ascii="Arial" w:hAnsi="Arial" w:cs="Arial"/>
          <w:color w:val="232527"/>
          <w:sz w:val="20"/>
          <w:szCs w:val="20"/>
          <w:bdr w:val="none" w:sz="0" w:space="0" w:color="auto" w:frame="1"/>
        </w:rPr>
        <w:t xml:space="preserve"> significa ser centro eTwinning, qué</w:t>
      </w:r>
      <w:r w:rsidRPr="008C5F8D">
        <w:rPr>
          <w:rStyle w:val="Textoennegrita"/>
          <w:rFonts w:ascii="Arial" w:hAnsi="Arial" w:cs="Arial"/>
          <w:color w:val="232527"/>
          <w:sz w:val="20"/>
          <w:szCs w:val="20"/>
          <w:bdr w:val="none" w:sz="0" w:space="0" w:color="auto" w:frame="1"/>
        </w:rPr>
        <w:t xml:space="preserve"> repercusiones se esperan al ser reconocido como Centro eTwinning? </w:t>
      </w:r>
    </w:p>
    <w:p w:rsidR="00EA3D04" w:rsidRPr="008C5F8D" w:rsidRDefault="00EA3D04" w:rsidP="00EA3D04">
      <w:pPr>
        <w:numPr>
          <w:ilvl w:val="0"/>
          <w:numId w:val="2"/>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Dar a conocer el Proyecto del centro, mejorar la consideración del mismo por parte de las diferentes Administraciones puesto que implica haber superado unos criterios de calidad evaluados en este caso por el Servicio Nacional de Apoyo eTwinning.</w:t>
      </w:r>
    </w:p>
    <w:p w:rsidR="00EA3D04" w:rsidRPr="008C5F8D" w:rsidRDefault="00EA3D04" w:rsidP="00EA3D04">
      <w:pPr>
        <w:numPr>
          <w:ilvl w:val="0"/>
          <w:numId w:val="2"/>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Aumento del interés por parte de las familias hacia el mismo programa, y quizá, ampliar la participación de éstas en futuros proyectos.</w:t>
      </w:r>
    </w:p>
    <w:p w:rsidR="00EA3D04" w:rsidRPr="008C5F8D" w:rsidRDefault="00EA3D04" w:rsidP="00EA3D04">
      <w:pPr>
        <w:numPr>
          <w:ilvl w:val="0"/>
          <w:numId w:val="3"/>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Reconocimiento por parte del claustro de líneas de trabajo relacionadas con eTwinning; tanto el profesorado definitivo como aquellos que por distintas circunstancias llegan cada curso.</w:t>
      </w:r>
    </w:p>
    <w:p w:rsidR="00EA3D04" w:rsidRPr="008C5F8D" w:rsidRDefault="00EA3D04" w:rsidP="00EA3D04">
      <w:pPr>
        <w:numPr>
          <w:ilvl w:val="0"/>
          <w:numId w:val="4"/>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Descubrimiento por parte del alumnado de un nuevo valor en su trabajo.</w:t>
      </w:r>
    </w:p>
    <w:p w:rsidR="00EA3D04" w:rsidRPr="008C5F8D" w:rsidRDefault="00EA3D04" w:rsidP="00EA3D04">
      <w:pPr>
        <w:numPr>
          <w:ilvl w:val="0"/>
          <w:numId w:val="5"/>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Adquisición de mayor visibilidad del centro, lo que puede favorecer el encontrar socios de proyectos eTwinning o Erasmus+.</w:t>
      </w:r>
    </w:p>
    <w:p w:rsidR="00FC71C5" w:rsidRPr="008C5F8D" w:rsidRDefault="00FC71C5" w:rsidP="004B7F12">
      <w:pPr>
        <w:spacing w:after="0" w:line="360" w:lineRule="auto"/>
        <w:ind w:left="300"/>
        <w:jc w:val="both"/>
        <w:textAlignment w:val="baseline"/>
        <w:rPr>
          <w:rFonts w:ascii="Arial" w:hAnsi="Arial" w:cs="Arial"/>
          <w:color w:val="232527"/>
          <w:sz w:val="20"/>
          <w:szCs w:val="20"/>
        </w:rPr>
      </w:pPr>
    </w:p>
    <w:p w:rsidR="00EA3D04" w:rsidRPr="008C5F8D" w:rsidRDefault="00EA3D04" w:rsidP="00EA3D04">
      <w:pPr>
        <w:pStyle w:val="NormalWeb"/>
        <w:spacing w:before="0" w:beforeAutospacing="0" w:after="360" w:afterAutospacing="0" w:line="360" w:lineRule="auto"/>
        <w:jc w:val="both"/>
        <w:textAlignment w:val="baseline"/>
        <w:rPr>
          <w:rFonts w:ascii="Arial" w:hAnsi="Arial" w:cs="Arial"/>
          <w:color w:val="232527"/>
          <w:sz w:val="20"/>
          <w:szCs w:val="20"/>
        </w:rPr>
      </w:pPr>
      <w:r w:rsidRPr="008C5F8D">
        <w:rPr>
          <w:rFonts w:ascii="Arial" w:hAnsi="Arial" w:cs="Arial"/>
          <w:color w:val="232527"/>
          <w:sz w:val="20"/>
          <w:szCs w:val="20"/>
        </w:rPr>
        <w:t>Desde el punto de vista de los equipos directivos, asumir ser centro eTwinning puede llevar a:</w:t>
      </w:r>
    </w:p>
    <w:p w:rsidR="00EA3D04" w:rsidRPr="008C5F8D" w:rsidRDefault="00EA3D04" w:rsidP="00EA3D04">
      <w:pPr>
        <w:numPr>
          <w:ilvl w:val="0"/>
          <w:numId w:val="6"/>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Mejorar los equipos de trabajo, estableciendo redes de colaboración dentro del propio centro.</w:t>
      </w:r>
    </w:p>
    <w:p w:rsidR="00EA3D04" w:rsidRPr="008C5F8D" w:rsidRDefault="00EA3D04" w:rsidP="00EA3D04">
      <w:pPr>
        <w:numPr>
          <w:ilvl w:val="0"/>
          <w:numId w:val="7"/>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Adquirir conciencia de la importancia de la difusión hacia el exterior (familias, localidad, otros centros) de las buenas prácticas.</w:t>
      </w:r>
    </w:p>
    <w:p w:rsidR="00EA3D04" w:rsidRPr="008C5F8D" w:rsidRDefault="00EA3D04" w:rsidP="00EA3D04">
      <w:pPr>
        <w:numPr>
          <w:ilvl w:val="0"/>
          <w:numId w:val="8"/>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Tener herramientas que permitan abordar la seguridad en Internet al proporcionar entornos de trabajo seguros.</w:t>
      </w:r>
    </w:p>
    <w:p w:rsidR="00EA3D04" w:rsidRPr="008C5F8D" w:rsidRDefault="00EA3D04" w:rsidP="00EA3D04">
      <w:pPr>
        <w:numPr>
          <w:ilvl w:val="0"/>
          <w:numId w:val="9"/>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Impulsar metodologías orientadas al desarrollo competencial del alumnado.</w:t>
      </w:r>
    </w:p>
    <w:p w:rsidR="00FC71C5" w:rsidRPr="008C5F8D" w:rsidRDefault="00EA3D04" w:rsidP="00FC71C5">
      <w:pPr>
        <w:numPr>
          <w:ilvl w:val="0"/>
          <w:numId w:val="10"/>
        </w:numPr>
        <w:spacing w:after="0" w:line="360" w:lineRule="auto"/>
        <w:ind w:left="300"/>
        <w:jc w:val="both"/>
        <w:textAlignment w:val="baseline"/>
        <w:rPr>
          <w:rFonts w:ascii="Arial" w:hAnsi="Arial" w:cs="Arial"/>
          <w:color w:val="232527"/>
          <w:sz w:val="20"/>
          <w:szCs w:val="20"/>
        </w:rPr>
      </w:pPr>
      <w:r w:rsidRPr="008C5F8D">
        <w:rPr>
          <w:rFonts w:ascii="Arial" w:hAnsi="Arial" w:cs="Arial"/>
          <w:color w:val="232527"/>
          <w:sz w:val="20"/>
          <w:szCs w:val="20"/>
        </w:rPr>
        <w:t>Promover el uso de las TIC por parte del profesorado y alumnado en entornos de trabajo seguros.</w:t>
      </w:r>
    </w:p>
    <w:p w:rsidR="00FC71C5" w:rsidRPr="008C5F8D" w:rsidRDefault="00FC71C5" w:rsidP="00FC71C5">
      <w:pPr>
        <w:spacing w:after="0" w:line="360" w:lineRule="auto"/>
        <w:ind w:left="300"/>
        <w:jc w:val="both"/>
        <w:textAlignment w:val="baseline"/>
        <w:rPr>
          <w:rFonts w:ascii="Arial" w:hAnsi="Arial" w:cs="Arial"/>
          <w:color w:val="232527"/>
          <w:sz w:val="20"/>
          <w:szCs w:val="20"/>
        </w:rPr>
      </w:pPr>
    </w:p>
    <w:p w:rsidR="00FC71C5" w:rsidRPr="008C5F8D" w:rsidRDefault="00FC71C5" w:rsidP="00FC71C5">
      <w:pPr>
        <w:spacing w:after="360" w:line="360" w:lineRule="auto"/>
        <w:jc w:val="both"/>
        <w:textAlignment w:val="baseline"/>
        <w:rPr>
          <w:rFonts w:ascii="Arial" w:eastAsia="Times New Roman" w:hAnsi="Arial" w:cs="Arial"/>
          <w:color w:val="232527"/>
          <w:sz w:val="20"/>
          <w:szCs w:val="20"/>
          <w:lang w:eastAsia="es-ES"/>
        </w:rPr>
      </w:pPr>
      <w:r w:rsidRPr="008C5F8D">
        <w:rPr>
          <w:rFonts w:ascii="Arial" w:eastAsia="Times New Roman" w:hAnsi="Arial" w:cs="Arial"/>
          <w:sz w:val="20"/>
          <w:szCs w:val="20"/>
          <w:lang w:eastAsia="es-ES"/>
        </w:rPr>
        <w:t>Q</w:t>
      </w:r>
      <w:r w:rsidRPr="008C5F8D">
        <w:rPr>
          <w:rFonts w:ascii="Arial" w:eastAsia="Times New Roman" w:hAnsi="Arial" w:cs="Arial"/>
          <w:color w:val="232527"/>
          <w:sz w:val="20"/>
          <w:szCs w:val="20"/>
          <w:lang w:eastAsia="es-ES"/>
        </w:rPr>
        <w:t>ueremos dar la enhorabuena a todos los centros galardonados, agradeciendo su implicación activa y constante en eTwinning, que les sitúa como ejemplos de buenas prácticas.</w:t>
      </w:r>
      <w:bookmarkStart w:id="0" w:name="_GoBack"/>
      <w:bookmarkEnd w:id="0"/>
    </w:p>
    <w:sectPr w:rsidR="00FC71C5" w:rsidRPr="008C5F8D" w:rsidSect="00FC71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14B"/>
    <w:multiLevelType w:val="multilevel"/>
    <w:tmpl w:val="C832AB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06027"/>
    <w:multiLevelType w:val="multilevel"/>
    <w:tmpl w:val="E4F4F6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8779AC"/>
    <w:multiLevelType w:val="multilevel"/>
    <w:tmpl w:val="226A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491CEF"/>
    <w:multiLevelType w:val="multilevel"/>
    <w:tmpl w:val="462EB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CF771D"/>
    <w:multiLevelType w:val="multilevel"/>
    <w:tmpl w:val="AA82E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0E6EA2"/>
    <w:multiLevelType w:val="multilevel"/>
    <w:tmpl w:val="F274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967C36"/>
    <w:multiLevelType w:val="multilevel"/>
    <w:tmpl w:val="DDF2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725CD"/>
    <w:multiLevelType w:val="multilevel"/>
    <w:tmpl w:val="BD82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1B59AC"/>
    <w:multiLevelType w:val="multilevel"/>
    <w:tmpl w:val="ED1E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435382"/>
    <w:multiLevelType w:val="multilevel"/>
    <w:tmpl w:val="B33A67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8"/>
  </w:num>
  <w:num w:numId="5">
    <w:abstractNumId w:val="7"/>
  </w:num>
  <w:num w:numId="6">
    <w:abstractNumId w:val="3"/>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04"/>
    <w:rsid w:val="003546B9"/>
    <w:rsid w:val="004B7F12"/>
    <w:rsid w:val="008C2802"/>
    <w:rsid w:val="008C5F8D"/>
    <w:rsid w:val="00EA3D04"/>
    <w:rsid w:val="00FC7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A3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A3D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3D0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A3D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A3D04"/>
    <w:rPr>
      <w:color w:val="0000FF"/>
      <w:u w:val="single"/>
    </w:rPr>
  </w:style>
  <w:style w:type="character" w:styleId="Textoennegrita">
    <w:name w:val="Strong"/>
    <w:basedOn w:val="Fuentedeprrafopredeter"/>
    <w:uiPriority w:val="22"/>
    <w:qFormat/>
    <w:rsid w:val="00EA3D04"/>
    <w:rPr>
      <w:b/>
      <w:bCs/>
    </w:rPr>
  </w:style>
  <w:style w:type="character" w:customStyle="1" w:styleId="Ttulo1Car">
    <w:name w:val="Título 1 Car"/>
    <w:basedOn w:val="Fuentedeprrafopredeter"/>
    <w:link w:val="Ttulo1"/>
    <w:uiPriority w:val="9"/>
    <w:rsid w:val="00EA3D04"/>
    <w:rPr>
      <w:rFonts w:asciiTheme="majorHAnsi" w:eastAsiaTheme="majorEastAsia" w:hAnsiTheme="majorHAnsi" w:cstheme="majorBidi"/>
      <w:color w:val="2E74B5" w:themeColor="accent1" w:themeShade="BF"/>
      <w:sz w:val="32"/>
      <w:szCs w:val="32"/>
    </w:rPr>
  </w:style>
  <w:style w:type="character" w:customStyle="1" w:styleId="posted-on">
    <w:name w:val="posted-on"/>
    <w:basedOn w:val="Fuentedeprrafopredeter"/>
    <w:rsid w:val="00EA3D04"/>
  </w:style>
  <w:style w:type="paragraph" w:styleId="Prrafodelista">
    <w:name w:val="List Paragraph"/>
    <w:basedOn w:val="Normal"/>
    <w:uiPriority w:val="34"/>
    <w:qFormat/>
    <w:rsid w:val="00FC7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A3D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EA3D0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3D0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EA3D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A3D04"/>
    <w:rPr>
      <w:color w:val="0000FF"/>
      <w:u w:val="single"/>
    </w:rPr>
  </w:style>
  <w:style w:type="character" w:styleId="Textoennegrita">
    <w:name w:val="Strong"/>
    <w:basedOn w:val="Fuentedeprrafopredeter"/>
    <w:uiPriority w:val="22"/>
    <w:qFormat/>
    <w:rsid w:val="00EA3D04"/>
    <w:rPr>
      <w:b/>
      <w:bCs/>
    </w:rPr>
  </w:style>
  <w:style w:type="character" w:customStyle="1" w:styleId="Ttulo1Car">
    <w:name w:val="Título 1 Car"/>
    <w:basedOn w:val="Fuentedeprrafopredeter"/>
    <w:link w:val="Ttulo1"/>
    <w:uiPriority w:val="9"/>
    <w:rsid w:val="00EA3D04"/>
    <w:rPr>
      <w:rFonts w:asciiTheme="majorHAnsi" w:eastAsiaTheme="majorEastAsia" w:hAnsiTheme="majorHAnsi" w:cstheme="majorBidi"/>
      <w:color w:val="2E74B5" w:themeColor="accent1" w:themeShade="BF"/>
      <w:sz w:val="32"/>
      <w:szCs w:val="32"/>
    </w:rPr>
  </w:style>
  <w:style w:type="character" w:customStyle="1" w:styleId="posted-on">
    <w:name w:val="posted-on"/>
    <w:basedOn w:val="Fuentedeprrafopredeter"/>
    <w:rsid w:val="00EA3D04"/>
  </w:style>
  <w:style w:type="paragraph" w:styleId="Prrafodelista">
    <w:name w:val="List Paragraph"/>
    <w:basedOn w:val="Normal"/>
    <w:uiPriority w:val="34"/>
    <w:qFormat/>
    <w:rsid w:val="00FC7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654439">
      <w:bodyDiv w:val="1"/>
      <w:marLeft w:val="0"/>
      <w:marRight w:val="0"/>
      <w:marTop w:val="0"/>
      <w:marBottom w:val="0"/>
      <w:divBdr>
        <w:top w:val="none" w:sz="0" w:space="0" w:color="auto"/>
        <w:left w:val="none" w:sz="0" w:space="0" w:color="auto"/>
        <w:bottom w:val="none" w:sz="0" w:space="0" w:color="auto"/>
        <w:right w:val="none" w:sz="0" w:space="0" w:color="auto"/>
      </w:divBdr>
    </w:div>
    <w:div w:id="1996253976">
      <w:bodyDiv w:val="1"/>
      <w:marLeft w:val="0"/>
      <w:marRight w:val="0"/>
      <w:marTop w:val="0"/>
      <w:marBottom w:val="0"/>
      <w:divBdr>
        <w:top w:val="none" w:sz="0" w:space="0" w:color="auto"/>
        <w:left w:val="none" w:sz="0" w:space="0" w:color="auto"/>
        <w:bottom w:val="none" w:sz="0" w:space="0" w:color="auto"/>
        <w:right w:val="none" w:sz="0" w:space="0" w:color="auto"/>
      </w:divBdr>
      <w:divsChild>
        <w:div w:id="1303464530">
          <w:marLeft w:val="0"/>
          <w:marRight w:val="0"/>
          <w:marTop w:val="0"/>
          <w:marBottom w:val="450"/>
          <w:divBdr>
            <w:top w:val="none" w:sz="0" w:space="0" w:color="auto"/>
            <w:left w:val="none" w:sz="0" w:space="0" w:color="auto"/>
            <w:bottom w:val="none" w:sz="0" w:space="0" w:color="auto"/>
            <w:right w:val="none" w:sz="0" w:space="0" w:color="auto"/>
          </w:divBdr>
        </w:div>
      </w:divsChild>
    </w:div>
    <w:div w:id="20516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winning.net/es/pub/support/esafety-and-etwinning.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schooleducationgateway.eu/es/pub/resources/tutorials/digital-competence-the-vital-.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winning.es/es/etwinning-schools-ya-estan-aqui/" TargetMode="External"/><Relationship Id="rId11" Type="http://schemas.openxmlformats.org/officeDocument/2006/relationships/hyperlink" Target="http://colab.eun.org/" TargetMode="External"/><Relationship Id="rId5" Type="http://schemas.openxmlformats.org/officeDocument/2006/relationships/webSettings" Target="webSettings.xml"/><Relationship Id="rId10" Type="http://schemas.openxmlformats.org/officeDocument/2006/relationships/hyperlink" Target="https://www.schooleducationgateway.eu/es/pub/resources/tutorials/expanding-your-professional-de.htm" TargetMode="External"/><Relationship Id="rId4" Type="http://schemas.openxmlformats.org/officeDocument/2006/relationships/settings" Target="settings.xml"/><Relationship Id="rId9" Type="http://schemas.openxmlformats.org/officeDocument/2006/relationships/hyperlink" Target="https://www.schooleducationgateway.eu/es/pub/latest/news/supporting-innovation-in-scho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dc:creator>
  <cp:keywords/>
  <dc:description/>
  <cp:lastModifiedBy>Echenique Echenique, Elisa (Educación)</cp:lastModifiedBy>
  <cp:revision>4</cp:revision>
  <dcterms:created xsi:type="dcterms:W3CDTF">2019-05-26T07:39:00Z</dcterms:created>
  <dcterms:modified xsi:type="dcterms:W3CDTF">2019-06-05T10:22:00Z</dcterms:modified>
</cp:coreProperties>
</file>